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Style w:val="hpsatn"/>
          <w:rtl w:val="0"/>
          <w:lang w:val="en-US"/>
        </w:rPr>
        <w:t xml:space="preserve">                                                                </w:t>
      </w:r>
    </w:p>
    <w:p>
      <w:pPr>
        <w:pStyle w:val="Body A"/>
      </w:pPr>
      <w:r>
        <w:rPr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032500" cy="17653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76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  <w:jc w:val="both"/>
        <w:rPr>
          <w:rStyle w:val="hpsatn"/>
          <w:sz w:val="32"/>
          <w:szCs w:val="32"/>
        </w:rPr>
      </w:pPr>
    </w:p>
    <w:p>
      <w:pPr>
        <w:pStyle w:val="Body A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Il Comitato di Genova della Societ</w:t>
      </w:r>
      <w:r>
        <w:rPr>
          <w:sz w:val="32"/>
          <w:szCs w:val="32"/>
          <w:rtl w:val="0"/>
          <w:lang w:val="en-US"/>
        </w:rPr>
        <w:t xml:space="preserve">à </w:t>
      </w:r>
      <w:r>
        <w:rPr>
          <w:sz w:val="32"/>
          <w:szCs w:val="32"/>
          <w:rtl w:val="0"/>
          <w:lang w:val="it-IT"/>
        </w:rPr>
        <w:t>Dante Alighieri ETS, in collaborazione con la Fondazione Casa America ETS e la Biblioteca Civica Berio, con il contributo della Fondazione Passadore 1888 e con il patrocinio dell</w:t>
      </w:r>
      <w:r>
        <w:rPr>
          <w:rFonts w:ascii="Arial Unicode MS" w:hAnsi="Arial Unicode MS" w:hint="default"/>
          <w:sz w:val="32"/>
          <w:szCs w:val="32"/>
          <w:rtl w:val="1"/>
          <w:lang w:val="ar-SA" w:bidi="ar-SA"/>
        </w:rPr>
        <w:t xml:space="preserve">’ </w:t>
      </w:r>
      <w:r>
        <w:rPr>
          <w:sz w:val="32"/>
          <w:szCs w:val="32"/>
          <w:rtl w:val="0"/>
          <w:lang w:val="it-IT"/>
        </w:rPr>
        <w:t>Usr e della Regione Liguria, organizza il ciclo di incontri</w:t>
      </w:r>
    </w:p>
    <w:p>
      <w:pPr>
        <w:pStyle w:val="Body A"/>
      </w:pPr>
      <w:r>
        <w:rPr>
          <w:sz w:val="32"/>
          <w:szCs w:val="32"/>
          <w:rtl w:val="0"/>
          <w:lang w:val="en-US"/>
        </w:rPr>
        <w:t xml:space="preserve">  </w:t>
      </w:r>
    </w:p>
    <w:p>
      <w:pPr>
        <w:pStyle w:val="Body A"/>
        <w:jc w:val="center"/>
        <w:rPr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L</w:t>
      </w:r>
      <w:r>
        <w:rPr>
          <w:rFonts w:ascii="Arial Unicode MS" w:hAnsi="Arial Unicode MS" w:hint="default"/>
          <w:sz w:val="36"/>
          <w:szCs w:val="36"/>
          <w:rtl w:val="1"/>
          <w:lang w:val="ar-SA" w:bidi="ar-SA"/>
        </w:rPr>
        <w:t>’</w:t>
      </w:r>
      <w:r>
        <w:rPr>
          <w:b w:val="1"/>
          <w:bCs w:val="1"/>
          <w:i w:val="1"/>
          <w:iCs w:val="1"/>
          <w:sz w:val="36"/>
          <w:szCs w:val="36"/>
          <w:rtl w:val="0"/>
          <w:lang w:val="it-IT"/>
        </w:rPr>
        <w:t xml:space="preserve">emigrazione italiana: un secolo di storie, libri, film e musica </w:t>
      </w:r>
    </w:p>
    <w:p>
      <w:pPr>
        <w:pStyle w:val="Body A"/>
        <w:jc w:val="both"/>
        <w:rPr>
          <w:rStyle w:val="hpsatn"/>
          <w:sz w:val="32"/>
          <w:szCs w:val="32"/>
        </w:rPr>
      </w:pPr>
    </w:p>
    <w:p>
      <w:pPr>
        <w:pStyle w:val="Body A"/>
        <w:jc w:val="both"/>
        <w:rPr>
          <w:b w:val="1"/>
          <w:bCs w:val="1"/>
          <w:lang w:val="it-IT"/>
        </w:rPr>
      </w:pPr>
      <w:r>
        <w:rPr>
          <w:b w:val="1"/>
          <w:bCs w:val="1"/>
          <w:sz w:val="28"/>
          <w:szCs w:val="28"/>
          <w:rtl w:val="0"/>
          <w:lang w:val="it-IT"/>
        </w:rPr>
        <w:t>I febbraio 2024,  Fondazione Casa America Ets, via dei Giustiniani 12/4, ore 16,30</w:t>
      </w:r>
    </w:p>
    <w:p>
      <w:pPr>
        <w:pStyle w:val="Body A"/>
        <w:jc w:val="both"/>
      </w:pPr>
    </w:p>
    <w:p>
      <w:pPr>
        <w:pStyle w:val="Body A"/>
        <w:jc w:val="both"/>
        <w:rPr>
          <w:sz w:val="28"/>
          <w:szCs w:val="28"/>
          <w:lang w:val="it-IT"/>
        </w:rPr>
      </w:pPr>
      <w:r>
        <w:rPr>
          <w:b w:val="1"/>
          <w:bCs w:val="1"/>
          <w:sz w:val="28"/>
          <w:szCs w:val="28"/>
          <w:rtl w:val="0"/>
          <w:lang w:val="it-IT"/>
        </w:rPr>
        <w:t>Saluti introduttivi di Roberto Speciale,</w:t>
      </w:r>
      <w:r>
        <w:rPr>
          <w:sz w:val="28"/>
          <w:szCs w:val="28"/>
          <w:rtl w:val="0"/>
          <w:lang w:val="it-IT"/>
        </w:rPr>
        <w:t xml:space="preserve"> presidente della Fondazione Casa America Ets e di </w:t>
      </w:r>
      <w:r>
        <w:rPr>
          <w:b w:val="1"/>
          <w:bCs w:val="1"/>
          <w:sz w:val="28"/>
          <w:szCs w:val="28"/>
          <w:rtl w:val="0"/>
          <w:lang w:val="it-IT"/>
        </w:rPr>
        <w:t>Francesco De Nicola</w:t>
      </w:r>
      <w:r>
        <w:rPr>
          <w:sz w:val="28"/>
          <w:szCs w:val="28"/>
          <w:rtl w:val="0"/>
          <w:lang w:val="it-IT"/>
        </w:rPr>
        <w:t xml:space="preserve">, presidente del Comitato di Genova della Dante Alighieri Ets. </w:t>
      </w:r>
    </w:p>
    <w:p>
      <w:pPr>
        <w:pStyle w:val="Body A"/>
        <w:jc w:val="both"/>
        <w:rPr>
          <w:i w:val="1"/>
          <w:iCs w:val="1"/>
          <w:sz w:val="28"/>
          <w:szCs w:val="28"/>
        </w:rPr>
      </w:pPr>
    </w:p>
    <w:p>
      <w:pPr>
        <w:pStyle w:val="Body A"/>
        <w:jc w:val="both"/>
      </w:pPr>
      <w:r>
        <w:rPr>
          <w:b w:val="1"/>
          <w:bCs w:val="1"/>
          <w:sz w:val="28"/>
          <w:szCs w:val="28"/>
          <w:rtl w:val="0"/>
          <w:lang w:val="it-IT"/>
        </w:rPr>
        <w:t>Interventi di Paolo Masini</w:t>
      </w:r>
      <w:r>
        <w:rPr>
          <w:sz w:val="28"/>
          <w:szCs w:val="28"/>
          <w:rtl w:val="0"/>
          <w:lang w:val="it-IT"/>
        </w:rPr>
        <w:t>, presidente del MEI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 xml:space="preserve">e di </w:t>
      </w:r>
      <w:r>
        <w:rPr>
          <w:b w:val="1"/>
          <w:bCs w:val="1"/>
          <w:sz w:val="28"/>
          <w:szCs w:val="28"/>
          <w:rtl w:val="0"/>
          <w:lang w:val="it-IT"/>
        </w:rPr>
        <w:t>Fabio Capocaccia</w:t>
      </w:r>
      <w:r>
        <w:rPr>
          <w:sz w:val="28"/>
          <w:szCs w:val="28"/>
          <w:rtl w:val="0"/>
          <w:lang w:val="it-IT"/>
        </w:rPr>
        <w:t xml:space="preserve">, presidente del CISEI. </w:t>
      </w:r>
    </w:p>
    <w:p>
      <w:pPr>
        <w:pStyle w:val="Body A"/>
        <w:jc w:val="both"/>
        <w:rPr>
          <w:i w:val="1"/>
          <w:i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Maddalena Tirabassi</w:t>
      </w:r>
      <w:r>
        <w:rPr>
          <w:sz w:val="28"/>
          <w:szCs w:val="28"/>
          <w:rtl w:val="0"/>
          <w:lang w:val="en-US"/>
        </w:rPr>
        <w:t xml:space="preserve">, </w:t>
      </w:r>
    </w:p>
    <w:p>
      <w:pPr>
        <w:pStyle w:val="Body A"/>
        <w:jc w:val="both"/>
        <w:rPr>
          <w:sz w:val="28"/>
          <w:szCs w:val="28"/>
          <w:lang w:val="it-IT"/>
        </w:rPr>
      </w:pPr>
      <w:r>
        <w:rPr>
          <w:i w:val="1"/>
          <w:iCs w:val="1"/>
          <w:sz w:val="28"/>
          <w:szCs w:val="28"/>
          <w:rtl w:val="0"/>
          <w:lang w:val="it-IT"/>
        </w:rPr>
        <w:t>Migrazioni 1924-2024. Un lungo secolo di storia italiana</w:t>
      </w:r>
    </w:p>
    <w:p>
      <w:pPr>
        <w:pStyle w:val="Body A"/>
        <w:ind w:right="15"/>
        <w:jc w:val="both"/>
        <w:rPr>
          <w:rStyle w:val="hpsatn"/>
          <w:rFonts w:ascii="Amasis MT Pro" w:cs="Amasis MT Pro" w:hAnsi="Amasis MT Pro" w:eastAsia="Amasis MT Pro"/>
          <w:sz w:val="28"/>
          <w:szCs w:val="28"/>
        </w:rPr>
      </w:pPr>
    </w:p>
    <w:p>
      <w:pPr>
        <w:pStyle w:val="Body A"/>
        <w:ind w:right="15"/>
        <w:jc w:val="both"/>
        <w:rPr>
          <w:rFonts w:ascii="Amasis MT Pro" w:cs="Amasis MT Pro" w:hAnsi="Amasis MT Pro" w:eastAsia="Amasis MT Pro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Maddalena Tirabassi</w:t>
      </w:r>
      <w:r>
        <w:rPr>
          <w:sz w:val="28"/>
          <w:szCs w:val="28"/>
          <w:rtl w:val="0"/>
          <w:lang w:val="it-IT"/>
        </w:rPr>
        <w:t xml:space="preserve"> è  </w:t>
      </w:r>
      <w:r>
        <w:rPr>
          <w:sz w:val="28"/>
          <w:szCs w:val="28"/>
          <w:rtl w:val="0"/>
          <w:lang w:val="it-IT"/>
        </w:rPr>
        <w:t xml:space="preserve">direttrice del Centro Altreitalie sulle Migrazioni Italiane, Globus et Locus, di Torino e della rivista </w:t>
      </w:r>
      <w:r>
        <w:rPr>
          <w:i w:val="1"/>
          <w:iCs w:val="1"/>
          <w:sz w:val="28"/>
          <w:szCs w:val="28"/>
          <w:rtl w:val="0"/>
          <w:lang w:val="de-DE"/>
        </w:rPr>
        <w:t>Altreitalie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stata Fulbright nel consiglio consultivo del MEI (Museo Nazionale dell'Emigrazione Italiana, Ministero degli Esteri), docente di letteratura angloamericana presso l'Universit</w:t>
      </w:r>
      <w:r>
        <w:rPr>
          <w:sz w:val="28"/>
          <w:szCs w:val="28"/>
          <w:rtl w:val="0"/>
          <w:lang w:val="en-US"/>
        </w:rPr>
        <w:t xml:space="preserve">à </w:t>
      </w:r>
      <w:r>
        <w:rPr>
          <w:sz w:val="28"/>
          <w:szCs w:val="28"/>
          <w:rtl w:val="0"/>
          <w:lang w:val="it-IT"/>
        </w:rPr>
        <w:t>di Teramo e vice presidente dell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sz w:val="28"/>
          <w:szCs w:val="28"/>
          <w:rtl w:val="0"/>
          <w:lang w:val="it-IT"/>
        </w:rPr>
        <w:t>AEMI (European Emigration Intitutions). Collabora con il MAECI su varie iniziative riguardanti la storia e la contemporaneit</w:t>
      </w:r>
      <w:r>
        <w:rPr>
          <w:sz w:val="28"/>
          <w:szCs w:val="28"/>
          <w:rtl w:val="0"/>
          <w:lang w:val="en-US"/>
        </w:rPr>
        <w:t xml:space="preserve">à </w:t>
      </w:r>
      <w:r>
        <w:rPr>
          <w:sz w:val="28"/>
          <w:szCs w:val="28"/>
          <w:rtl w:val="0"/>
          <w:lang w:val="it-IT"/>
        </w:rPr>
        <w:t>degli italiani nel mondo.</w:t>
      </w:r>
    </w:p>
    <w:p>
      <w:pPr>
        <w:pStyle w:val="Body A"/>
        <w:ind w:left="14" w:right="15" w:firstLine="0"/>
        <w:jc w:val="both"/>
      </w:pPr>
      <w:bookmarkStart w:name="_Hlk5436923" w:id="0"/>
      <w:r>
        <w:rPr>
          <w:sz w:val="28"/>
          <w:szCs w:val="28"/>
          <w:rtl w:val="0"/>
          <w:lang w:val="it-IT"/>
        </w:rPr>
        <w:t xml:space="preserve">Tra le sue </w:t>
      </w:r>
      <w:bookmarkEnd w:id="0"/>
      <w:r>
        <w:rPr>
          <w:sz w:val="28"/>
          <w:szCs w:val="28"/>
          <w:rtl w:val="0"/>
          <w:lang w:val="it-IT"/>
        </w:rPr>
        <w:t xml:space="preserve">pubblicazioni: </w:t>
      </w:r>
      <w:r>
        <w:rPr>
          <w:i w:val="1"/>
          <w:iCs w:val="1"/>
          <w:sz w:val="28"/>
          <w:szCs w:val="28"/>
          <w:rtl w:val="0"/>
          <w:lang w:val="it-IT"/>
        </w:rPr>
        <w:t>Il  Faro di Beacon Street. Social workers e immigrate negli Stati Uniti, Storia e storie delle migrazioni italiana dall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Ancien 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it-IT"/>
        </w:rPr>
        <w:t xml:space="preserve">gime a oggi </w:t>
      </w:r>
      <w:r>
        <w:rPr>
          <w:sz w:val="28"/>
          <w:szCs w:val="28"/>
          <w:rtl w:val="0"/>
          <w:lang w:val="it-IT"/>
        </w:rPr>
        <w:t>(con Patrizia Audenino), 2008</w:t>
      </w:r>
      <w:r>
        <w:rPr>
          <w:i w:val="1"/>
          <w:iCs w:val="1"/>
          <w:sz w:val="28"/>
          <w:szCs w:val="28"/>
          <w:rtl w:val="0"/>
          <w:lang w:val="it-IT"/>
        </w:rPr>
        <w:t xml:space="preserve">. I motori della memoria. Le piemontesi in Argentina, </w:t>
      </w:r>
      <w:r>
        <w:rPr>
          <w:sz w:val="28"/>
          <w:szCs w:val="28"/>
          <w:rtl w:val="0"/>
          <w:lang w:val="en-US"/>
        </w:rPr>
        <w:t>2010</w:t>
      </w:r>
      <w:bookmarkStart w:name="_Hlk20479084" w:id="1"/>
      <w:r>
        <w:rPr>
          <w:sz w:val="28"/>
          <w:szCs w:val="28"/>
          <w:rtl w:val="0"/>
          <w:lang w:val="en-US"/>
        </w:rPr>
        <w:t>;</w:t>
      </w:r>
      <w:r>
        <w:rPr>
          <w:i w:val="1"/>
          <w:iCs w:val="1"/>
          <w:sz w:val="28"/>
          <w:szCs w:val="28"/>
          <w:rtl w:val="0"/>
          <w:lang w:val="it-IT"/>
        </w:rPr>
        <w:t xml:space="preserve"> La meglio Italia. Le mobilit</w:t>
      </w:r>
      <w:r>
        <w:rPr>
          <w:i w:val="1"/>
          <w:iCs w:val="1"/>
          <w:sz w:val="28"/>
          <w:szCs w:val="28"/>
          <w:rtl w:val="0"/>
          <w:lang w:val="en-US"/>
        </w:rPr>
        <w:t xml:space="preserve">à </w:t>
      </w:r>
      <w:r>
        <w:rPr>
          <w:i w:val="1"/>
          <w:iCs w:val="1"/>
          <w:sz w:val="28"/>
          <w:szCs w:val="28"/>
          <w:rtl w:val="0"/>
          <w:lang w:val="it-IT"/>
        </w:rPr>
        <w:t xml:space="preserve">italiane nel </w:t>
      </w:r>
      <w:r>
        <w:rPr>
          <w:i w:val="1"/>
          <w:iCs w:val="1"/>
          <w:smallCaps w:val="1"/>
          <w:sz w:val="28"/>
          <w:szCs w:val="28"/>
          <w:rtl w:val="0"/>
          <w:lang w:val="en-US"/>
        </w:rPr>
        <w:t>xxi</w:t>
      </w:r>
      <w:r>
        <w:rPr>
          <w:i w:val="1"/>
          <w:iCs w:val="1"/>
          <w:sz w:val="28"/>
          <w:szCs w:val="28"/>
          <w:rtl w:val="0"/>
          <w:lang w:val="it-IT"/>
        </w:rPr>
        <w:t xml:space="preserve"> secolo</w:t>
      </w:r>
      <w:r>
        <w:rPr>
          <w:sz w:val="28"/>
          <w:szCs w:val="28"/>
          <w:rtl w:val="0"/>
          <w:lang w:val="it-IT"/>
        </w:rPr>
        <w:t>, (con Alvise Del Pra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sz w:val="28"/>
          <w:szCs w:val="28"/>
          <w:rtl w:val="0"/>
          <w:lang w:val="en-US"/>
        </w:rPr>
        <w:t>), 2014</w:t>
      </w:r>
      <w:r>
        <w:rPr>
          <w:i w:val="1"/>
          <w:iCs w:val="1"/>
          <w:sz w:val="28"/>
          <w:szCs w:val="28"/>
          <w:rtl w:val="0"/>
          <w:lang w:val="en-US"/>
        </w:rPr>
        <w:t xml:space="preserve">; </w:t>
      </w:r>
      <w:bookmarkEnd w:id="1"/>
      <w:r>
        <w:rPr>
          <w:sz w:val="28"/>
          <w:szCs w:val="28"/>
          <w:rtl w:val="0"/>
          <w:lang w:val="it-IT"/>
        </w:rPr>
        <w:t>Ha curato l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sz w:val="28"/>
          <w:szCs w:val="28"/>
          <w:rtl w:val="0"/>
          <w:lang w:val="it-IT"/>
        </w:rPr>
        <w:t>edizione italiana, e ne ha scritto l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sz w:val="28"/>
          <w:szCs w:val="28"/>
          <w:rtl w:val="0"/>
          <w:lang w:val="it-IT"/>
        </w:rPr>
        <w:t>introduzione, di</w:t>
      </w:r>
      <w:r>
        <w:rPr>
          <w:i w:val="1"/>
          <w:iCs w:val="1"/>
          <w:sz w:val="28"/>
          <w:szCs w:val="28"/>
          <w:rtl w:val="0"/>
          <w:lang w:val="it-IT"/>
        </w:rPr>
        <w:t xml:space="preserve"> La storia degli italoamericani, </w:t>
      </w:r>
      <w:r>
        <w:rPr>
          <w:sz w:val="28"/>
          <w:szCs w:val="28"/>
          <w:rtl w:val="0"/>
          <w:lang w:val="it-IT"/>
        </w:rPr>
        <w:t>(a cura di William Connell e Stanislao Pugliese per l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’</w:t>
      </w:r>
      <w:r>
        <w:rPr>
          <w:sz w:val="28"/>
          <w:szCs w:val="28"/>
          <w:rtl w:val="0"/>
          <w:lang w:val="it-IT"/>
        </w:rPr>
        <w:t xml:space="preserve">edizione inglese), vincitore del Premio Fulbright 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it-IT"/>
        </w:rPr>
        <w:t>75 Anniversary Award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it-IT"/>
        </w:rPr>
        <w:t xml:space="preserve">nel 2023.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asis M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psatn">
    <w:name w:val="hpsat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